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D209" w14:textId="16F8E19D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955C3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955C3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730A7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WYDARZENIA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W ZAKRESIE OPERACJI DOTYCZĄCEJ </w:t>
      </w:r>
      <w:r w:rsidR="00730A7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AKTYWIZACJI.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44E78FD8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(wypełnia pracownik </w:t>
            </w:r>
            <w:r w:rsidR="00730A75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LGD PDS</w:t>
            </w: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78682C8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</w:t>
      </w:r>
      <w:r w:rsidRPr="00730A7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Wsparcie na </w:t>
      </w:r>
      <w:r w:rsidR="00730A75" w:rsidRPr="00730A7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0492BA8B" w:rsidR="00132D41" w:rsidRPr="007D529C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 Województwa 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</w:t>
      </w:r>
      <w:r w:rsidR="00BC6F13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4ABF7760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7D529C" w:rsidRPr="007D529C">
          <w:rPr>
            <w:rStyle w:val="Hipercze"/>
            <w:rFonts w:ascii="Times New Roman" w:hAnsi="Times New Roman" w:cs="Times New Roman"/>
            <w:b/>
            <w:sz w:val="20"/>
            <w:szCs w:val="20"/>
          </w:rPr>
          <w:t>dprow@pomorskie.eu</w:t>
        </w:r>
      </w:hyperlink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D529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31DFE9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D529C" w:rsidRPr="007D5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DD4B81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r. o wspieraniu rozwoju obszarów wiejskich z udziałem środków Europejskiego Funduszu Rolnego na rzecz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0A75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BB5434A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21E9" w:rsidRPr="005921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Partnerstwo Dorzecze Słupi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5921E9">
        <w:rPr>
          <w:rFonts w:ascii="Times New Roman" w:hAnsi="Times New Roman" w:cs="Times New Roman"/>
          <w:color w:val="000000" w:themeColor="text1"/>
          <w:sz w:val="20"/>
          <w:szCs w:val="20"/>
        </w:rPr>
        <w:t>Krzyni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249FDD4B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0E5216" w:rsidRPr="006C4876">
          <w:rPr>
            <w:rStyle w:val="Hipercze"/>
            <w:rFonts w:ascii="Times New Roman" w:hAnsi="Times New Roman" w:cs="Times New Roman"/>
            <w:sz w:val="20"/>
            <w:szCs w:val="20"/>
          </w:rPr>
          <w:t>biuro@pds.org.pl</w:t>
        </w:r>
      </w:hyperlink>
      <w:r w:rsidR="000E52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</w:t>
      </w:r>
      <w:r w:rsidR="00730A75">
        <w:rPr>
          <w:rFonts w:ascii="Times New Roman" w:hAnsi="Times New Roman" w:cs="Times New Roman"/>
          <w:color w:val="000000" w:themeColor="text1"/>
          <w:sz w:val="20"/>
          <w:szCs w:val="20"/>
        </w:rPr>
        <w:t>wskazany w pkt.1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070845A1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730A75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26083DF3" w:rsidR="00EC7841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E521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dokumentacji zadania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 zakresie operacji dotyczącej </w:t>
      </w:r>
      <w:r w:rsidR="00730A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aktywizacji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</w:t>
      </w:r>
      <w:r w:rsidR="00730A7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sparcie na </w:t>
      </w:r>
      <w:r w:rsidR="00730A75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</w:t>
      </w:r>
      <w:r w:rsidR="00730A7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3D6553" w14:textId="77777777" w:rsidR="00730A75" w:rsidRPr="008F2823" w:rsidRDefault="00730A75" w:rsidP="00730A75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A3983" w14:textId="77777777" w:rsidR="007C0AE5" w:rsidRDefault="007C0AE5" w:rsidP="007417CA">
      <w:pPr>
        <w:spacing w:after="0" w:line="240" w:lineRule="auto"/>
      </w:pPr>
      <w:r>
        <w:separator/>
      </w:r>
    </w:p>
  </w:endnote>
  <w:endnote w:type="continuationSeparator" w:id="0">
    <w:p w14:paraId="4CDD4BB6" w14:textId="77777777" w:rsidR="007C0AE5" w:rsidRDefault="007C0AE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52A0A216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D529C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D529C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EF4DC" w14:textId="77777777" w:rsidR="007C0AE5" w:rsidRDefault="007C0AE5" w:rsidP="007417CA">
      <w:pPr>
        <w:spacing w:after="0" w:line="240" w:lineRule="auto"/>
      </w:pPr>
      <w:r>
        <w:separator/>
      </w:r>
    </w:p>
  </w:footnote>
  <w:footnote w:type="continuationSeparator" w:id="0">
    <w:p w14:paraId="57B4CFE8" w14:textId="77777777" w:rsidR="007C0AE5" w:rsidRDefault="007C0AE5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C74A4"/>
    <w:rsid w:val="000D1114"/>
    <w:rsid w:val="000E3281"/>
    <w:rsid w:val="000E5216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17A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21E9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0A75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0AE5"/>
    <w:rsid w:val="007C7422"/>
    <w:rsid w:val="007D24DD"/>
    <w:rsid w:val="007D529C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725EB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5C3C"/>
    <w:rsid w:val="0095712A"/>
    <w:rsid w:val="00957DC3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07287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92C1F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94B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E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ds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row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3FFB-C4FD-4CE8-BF85-1B76F7F9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Inga Kawałek</cp:lastModifiedBy>
  <cp:revision>4</cp:revision>
  <cp:lastPrinted>2018-06-04T07:26:00Z</cp:lastPrinted>
  <dcterms:created xsi:type="dcterms:W3CDTF">2018-10-25T12:11:00Z</dcterms:created>
  <dcterms:modified xsi:type="dcterms:W3CDTF">2018-10-29T10:13:00Z</dcterms:modified>
</cp:coreProperties>
</file>